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9.0" w:type="dxa"/>
        <w:jc w:val="left"/>
        <w:tblInd w:w="17.0" w:type="dxa"/>
        <w:tblLayout w:type="fixed"/>
        <w:tblLook w:val="0000"/>
      </w:tblPr>
      <w:tblGrid>
        <w:gridCol w:w="4767"/>
        <w:gridCol w:w="4932"/>
        <w:tblGridChange w:id="0">
          <w:tblGrid>
            <w:gridCol w:w="4767"/>
            <w:gridCol w:w="4932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PROGRAMMA SVOLTO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- SEZIONE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 ^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Barresi Daniela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720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PROGRAMMA EFFETTIVAMENTE SVOLTO FINO AL 15 MAGGIO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hanging="360"/>
        <w:jc w:val="both"/>
        <w:rPr>
          <w:b w:val="1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L’inquieto inizio del XX secolo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Belle époque: la società del benessere e dei consumi e le innovazioni scientifiche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grandi magazzini simbolo della modernità (lettura, analisi e commento della riflessione del sociologo Stefano Cavazza “Dimensione massa. Individui, folle e consumi”)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L’ingresso delle masse nella vita civile: tensioni e inquietudini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L’età giolittiana: il giudizio storico su Giolitti, il programma politico giolittiano, il decollo industriale, l’arretratezza del Sud e la piaga dell’emigrazione, le riforme, la politica estera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Patto Gentiloni e il lento cammino dei cattolici nella vita politica italiana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Approfondimento: Lo scandalo della Banca Romana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Approfondimento: Le crisi marocchine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hanging="360"/>
        <w:jc w:val="both"/>
        <w:rPr>
          <w:b w:val="1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Grande Guerra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significato storico della Prima Guerra Mondiale (lettura, analisi e commento di un frammento tratto da “Il secolo breve” di Eric Hobsbawm)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cause profonde della Grande Guerra e l’attentato di Sarajevo (visione filmato)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Dall’attentato di Sarajevo all’inizio della guerra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Approfondimento: il genocidio degli Armeni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L’entrata in guerra dell’Italia: il dibattito tra neutralisti e interventisti, il Patto di Londra e le radiose giornate di Maggio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guerra nel 1916 - l’Europa in trincea: il fronte sul Carso, la condizione dei soldati nelle trincee, il ruolo dei tribunali militari e la censura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Approfondimento: lo shell shock e i disturbi post traumatici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guerra totale: la creazione del fronte interno, il ruolo del pontefice Benedetto XV, gli altri fronti di guerra e la guerra sottomarina (protagonisti e conseguenze)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svolta del 1917 e la fine della guerra: l’uscita della Russia dal conflitto, la disfatta italiana di Caporetto (dalla disastrosa ritirata alla reazione italiana), l’entrata in guerra degli USA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sconfitta degli imperi centrali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bilancio del conflitto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pace insoddisfacente: la conferenza di pace di Versailles e la posizione di Wilson, la posizione della Francia, in sentimento della “vittoria mutilata”, l’eredità dei trattati (il problema della Polonia, l’emarginazione delle minoranze etniche e la liquidazione dell’impero ottomano)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Approfondimento: Le origini del problema mediorientale e visione documentario su Lawrence d’Arabia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Approfondimento: La guerra e la pace - il laboratorio delle interpretazioni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hanging="360"/>
        <w:jc w:val="both"/>
        <w:rPr>
          <w:b w:val="1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Il primo dopoguerra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Rivoluzione russa: l’Impero Russo alla fine del XIX secolo, la “domenica di sangue” del 1905 e il ruolo dei soviet, la Rivoluzione di Febbraio, il ruolo di Lenin e la Rivoluzione di Ottobre, l’uscita della Russia dalla Guerra, la guerra civile e il comunismo di guerra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Novecento, secolo delle masse: il lutto e la memoria di massa, la guerra di massa e le sue conseguenze, la crisi della cultura democratica e liberale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conseguenze economiche della guerra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ruggenti anni Venti negli Stati Uniti: l’età della crescita economica, il partito repubblicano alla guida del Paese, l’età del jazz e la diffusione dell’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American way of life,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proibizionismo, gangsterismo 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red scare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Germania della Repubblica di Weimar: dalla crisi alla stabilizzazione economica (il piano Dawes), dalla crisi alla stabilizzazione politica, il grande splendore culturale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Approfondimento: il cinema di Fritz Lang e le inquietudini del presente (cenni a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Metropolis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crollo dell’impero austro-ungarico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nascita dell’Unione Sovietica e la Nep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Stalin al potere 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Il dopoguerra in Italia e il Fascismo al potere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tensioni sociali, politiche ed economiche dell’Italia alla fine della Grande Guerra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L’occupazione di Fiume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biennio rosso, la nascita del PPI e le elezioni politiche del 1919 (l’ultimo governo Giolitti)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divisioni del PSI e la nascita del Movimento dei Fasci di Combattimento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programma di San Sepolcro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 squadrismo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L’eutanasia dello stato liberale: la nascita del Partito Nazionale Fascista, la marcia su Roma, il “discorso del bivacco” (analisi), il delitto Matteotti (visione in classe di un frammento del film “Il delitto Matteotti”)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L’età dei totalitarismi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Gli anni Trenta: l’età della crisi (la crisi del ‘29 - cause e conseguenze; i legami tra passato e presente; approfondimento sul lessico della crisi)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New Deal: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ripensamento dell’approccio liberista e i primi “cento giorni”; la ricerca del consenso popolare; la crisi internazionale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politica del fascismo: le leggi fascistissime; il corporativismo; i patti lateranensi; la politica coloniale italiana 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crisi e l’ascesa del Nazismo (le tappe dell’ascesa al potere di Adolf Hitler)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L’ideologia nazista: capo, popolo e razza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Approfondimento: l’eutanasia di Stato e l’operazione T4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Approfondimento: il termine totalitarismo; la visione del totalitarismo secondo H. Arendt e S. Weil; il “totalitarismo imperfetto”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Controllare e manipolare: totalitarismi a confronto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Seconda Guerra Mondiale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7"/>
        </w:numPr>
        <w:tabs>
          <w:tab w:val="left" w:pos="284"/>
        </w:tabs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democrazia in ritirata: un fascismo, tanti fascismi (la situazione dell’Austria; il nazionalismo giapponese; la penisola iberica)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Guerra Civile spagnola: le cause, lo svolgimento, il ruolo di Germania e Italia, il significato storico-politico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Verso la Seconda Guerra Mondiale: il principio dello spazio vitale, l’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Anschluss,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crisi dei Sudeti, la Conferenza di Monaco e la politica dell’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appeasement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 scoppio della Guerra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battaglia d’Inghilterra e l’entrata in guerra dell’Italia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Carta Atlantica e l’ingresso degli Stati Uniti nel conflitto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L’Europa sotto il tallone nazista e la svolta del ‘43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resa della Germania e del Giappone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valore storico della Resistenza, l’Italia divisa e la nascita del CLN, la liberazione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L’Olocausto (studio autonomo di una presentazione multimediale proposta dalla docente)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Approfondimento: gli stupri di guerra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Approfondimento: il progetto Manhattan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Il Secondo dopoguerra: dalla cooperazione internazionale alle origini della Guerra fredda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L’eredità della guerra: le deportazioni e le Foibe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Cooperazione internazionale: la nascita dell’ONU, il processo di Norimberga e la Dichiarazione Universale dei diritti umani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trattati di pace: la divisione della Germania; la crisi di Berlino; il muro di Berlino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origini della Guerra Fredda: la leadership statunitense (il piano Marshall e il patto atlantico); le democrazie popolari e il controllo diretto e indiretto dell’URSS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Guerra di Corea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contrapposizione ideologica: Maccartismo e repressione del dissenso in Unione sovietica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Breve storia dell’Italia repubblicana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nascita della Repubblica: i primi governi di unità nazionale; la “repubblica dei partiti”; i principi della Costituzione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stagione del centrismo: le elezioni politiche del 1948; il programma politico della DC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miracolo economico: caratteristiche e conseguenze; la fine del centrismo e gli anni di piombo (cenni)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 di approfondimento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caduta del Muro di Berlino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difficile integrazione europea: dal Manifesto di Ventotene ai trattati di Roma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Gli alunni hanno approfondito, in autonomia, i seguenti argomenti: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guerra del Golfo; l’indipendenza indiana; i giovani e il ‘68; lo Stato d’Israele; la rivoluzione cubana; le guerre balcaniche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PROGRAMMA CHE SI PRESUME DI SVOLGERE DOPO IL 15 MAGGIO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240" w:lineRule="auto"/>
        <w:ind w:left="5103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9"/>
        </w:numPr>
        <w:tabs>
          <w:tab w:val="left" w:pos="284"/>
        </w:tabs>
        <w:spacing w:before="120" w:lineRule="auto"/>
        <w:ind w:left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Dopo il 15 Maggio non verranno affrontati nuovi argomenti, ma verrà proposto il ripasso del programma dell’anno scolastico.</w:t>
      </w:r>
    </w:p>
    <w:p w:rsidR="00000000" w:rsidDel="00000000" w:rsidP="00000000" w:rsidRDefault="00000000" w:rsidRPr="00000000" w14:paraId="0000006A">
      <w:pPr>
        <w:widowControl w:val="0"/>
        <w:tabs>
          <w:tab w:val="left" w:pos="0"/>
        </w:tabs>
        <w:spacing w:after="120" w:befor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sottoscritti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Luzzani Martina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Valsecchi Giacomo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studenti della classe 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sezione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dichiarano che in data 08 maggio 2021 è stato sottoposto alla classe il programma effettivamente svolto di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Storia.</w:t>
      </w:r>
      <w:r w:rsidDel="00000000" w:rsidR="00000000" w:rsidRPr="00000000">
        <w:rPr>
          <w:rtl w:val="0"/>
        </w:rPr>
      </w:r>
    </w:p>
    <w:tbl>
      <w:tblPr>
        <w:tblStyle w:val="Table2"/>
        <w:tblW w:w="9822.0" w:type="dxa"/>
        <w:jc w:val="left"/>
        <w:tblInd w:w="0.0" w:type="dxa"/>
        <w:tblLayout w:type="fixed"/>
        <w:tblLook w:val="0000"/>
      </w:tblPr>
      <w:tblGrid>
        <w:gridCol w:w="4503"/>
        <w:gridCol w:w="408"/>
        <w:gridCol w:w="442"/>
        <w:gridCol w:w="4469"/>
        <w:tblGridChange w:id="0">
          <w:tblGrid>
            <w:gridCol w:w="4503"/>
            <w:gridCol w:w="408"/>
            <w:gridCol w:w="442"/>
            <w:gridCol w:w="4469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tabs>
                <w:tab w:val="left" w:pos="0"/>
              </w:tabs>
              <w:spacing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F.to Martina Luzzani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tabs>
                <w:tab w:val="left" w:pos="0"/>
              </w:tabs>
              <w:spacing w:before="1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F.to Giacomo Valsecchi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bottom w:color="ffffff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left" w:pos="0"/>
              </w:tabs>
              <w:spacing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tabs>
                <w:tab w:val="left" w:pos="0"/>
              </w:tabs>
              <w:spacing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tabs>
                <w:tab w:val="left" w:pos="0"/>
              </w:tabs>
              <w:spacing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before="12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(Firme autografe sostituite a mezzo stampa ai sensi dell’art. 3, comma 2 del decreto legislativo n.39/1993)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tabs>
          <w:tab w:val="left" w:pos="0"/>
        </w:tabs>
        <w:spacing w:befor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Erba, 08 maggio 2021 </w:t>
      </w:r>
    </w:p>
    <w:p w:rsidR="00000000" w:rsidDel="00000000" w:rsidP="00000000" w:rsidRDefault="00000000" w:rsidRPr="00000000" w14:paraId="00000076">
      <w:pPr>
        <w:widowControl w:val="0"/>
        <w:tabs>
          <w:tab w:val="left" w:pos="0"/>
        </w:tabs>
        <w:spacing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60" w:line="252.00000000000003" w:lineRule="auto"/>
        <w:ind w:left="5103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DOCENTE</w:t>
      </w:r>
    </w:p>
    <w:p w:rsidR="00000000" w:rsidDel="00000000" w:rsidP="00000000" w:rsidRDefault="00000000" w:rsidRPr="00000000" w14:paraId="00000078">
      <w:pPr>
        <w:spacing w:after="160" w:line="252.00000000000003" w:lineRule="auto"/>
        <w:ind w:left="5103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F.to Daniela Barresi</w:t>
      </w:r>
    </w:p>
    <w:p w:rsidR="00000000" w:rsidDel="00000000" w:rsidP="00000000" w:rsidRDefault="00000000" w:rsidRPr="00000000" w14:paraId="00000079">
      <w:pPr>
        <w:spacing w:after="160" w:before="240" w:line="252.00000000000003" w:lineRule="auto"/>
        <w:ind w:left="5103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10"/>
          <w:szCs w:val="10"/>
          <w:rtl w:val="0"/>
        </w:rPr>
        <w:t xml:space="preserve">(Firma autografa sostituita a mezzo stampa ai sensi dell’art. 3, c. 2 del DLgs n.39/1993) 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276" w:left="1134" w:right="1134" w:header="567" w:footer="2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120" w:line="252.00000000000003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PROGRAMMA SVOLTO - 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1" w:sz="4" w:val="single"/>
        <w:right w:color="000000" w:space="0" w:sz="0" w:val="none"/>
        <w:between w:space="0" w:sz="0" w:val="nil"/>
      </w:pBdr>
      <w:shd w:fill="auto" w:val="clear"/>
      <w:spacing w:after="240" w:before="0" w:line="252.00000000000003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LICEO CARLO PORTA - DOCUMENTO DEL CONSIGLIO DI CLASSE – A.S. 2019/2020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